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D8" w:rsidRDefault="002E35D8" w:rsidP="002E35D8">
      <w:pPr>
        <w:rPr>
          <w:rFonts w:ascii="Times New Roman" w:hAnsi="Times New Roman"/>
          <w:b/>
          <w:sz w:val="28"/>
          <w:szCs w:val="28"/>
        </w:rPr>
      </w:pPr>
    </w:p>
    <w:p w:rsidR="00CF2940" w:rsidRPr="001959D0" w:rsidRDefault="00CF2940" w:rsidP="002E35D8">
      <w:pPr>
        <w:rPr>
          <w:rFonts w:ascii="Times New Roman" w:hAnsi="Times New Roman"/>
          <w:b/>
          <w:sz w:val="28"/>
          <w:szCs w:val="28"/>
        </w:rPr>
      </w:pPr>
      <w:proofErr w:type="gramStart"/>
      <w:r w:rsidRPr="00CF2940">
        <w:rPr>
          <w:rFonts w:ascii="Times New Roman" w:hAnsi="Times New Roman"/>
          <w:b/>
          <w:sz w:val="28"/>
          <w:szCs w:val="28"/>
          <w:highlight w:val="yellow"/>
        </w:rPr>
        <w:t>Name :</w:t>
      </w:r>
      <w:proofErr w:type="gramEnd"/>
      <w:r w:rsidR="00673130">
        <w:rPr>
          <w:rFonts w:ascii="Times New Roman" w:hAnsi="Times New Roman"/>
          <w:b/>
          <w:sz w:val="28"/>
          <w:szCs w:val="28"/>
        </w:rPr>
        <w:t xml:space="preserve">  Sinn, Cal</w:t>
      </w:r>
    </w:p>
    <w:p w:rsidR="0031333A" w:rsidRPr="001959D0" w:rsidRDefault="0031333A" w:rsidP="002E35D8">
      <w:pPr>
        <w:rPr>
          <w:rFonts w:ascii="Times New Roman" w:hAnsi="Times New Roman"/>
          <w:b/>
          <w:sz w:val="28"/>
          <w:szCs w:val="28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  <w:sectPr w:rsidR="00EC2BD6" w:rsidSect="006B1AEF">
          <w:headerReference w:type="default" r:id="rId7"/>
          <w:footerReference w:type="default" r:id="rId8"/>
          <w:pgSz w:w="12240" w:h="15840"/>
          <w:pgMar w:top="1440" w:right="1800" w:bottom="1440" w:left="1440" w:header="720" w:footer="720" w:gutter="0"/>
          <w:pgBorders>
            <w:top w:val="thinThickSmallGap" w:sz="24" w:space="1" w:color="auto"/>
            <w:bottom w:val="thickThinSmallGap" w:sz="24" w:space="1" w:color="auto"/>
          </w:pgBorders>
          <w:pgNumType w:start="49"/>
          <w:cols w:num="2" w:space="720" w:equalWidth="0">
            <w:col w:w="4858" w:space="722"/>
            <w:col w:w="3420"/>
          </w:cols>
          <w:docGrid w:linePitch="360"/>
        </w:sectPr>
      </w:pPr>
    </w:p>
    <w:p w:rsidR="00EC2BD6" w:rsidRPr="00CF2940" w:rsidRDefault="00EC2BD6" w:rsidP="00EC2BD6">
      <w:pPr>
        <w:ind w:left="1620" w:hanging="1620"/>
        <w:rPr>
          <w:rFonts w:ascii="Times New Roman" w:hAnsi="Times New Roman"/>
          <w:sz w:val="28"/>
          <w:szCs w:val="28"/>
        </w:rPr>
      </w:pPr>
      <w:r w:rsidRPr="00CF2940">
        <w:rPr>
          <w:rFonts w:ascii="Times New Roman" w:hAnsi="Times New Roman"/>
          <w:b/>
          <w:sz w:val="28"/>
          <w:szCs w:val="28"/>
        </w:rPr>
        <w:lastRenderedPageBreak/>
        <w:t>Article:</w:t>
      </w:r>
      <w:r w:rsidRPr="00CF2940">
        <w:rPr>
          <w:rFonts w:ascii="Times New Roman" w:hAnsi="Times New Roman"/>
          <w:sz w:val="28"/>
          <w:szCs w:val="28"/>
        </w:rPr>
        <w:t xml:space="preserve">   “Distinguishing the Essential from the Important:  Using Research to Strengthen the Use of Standards for Administrator and Licensure Programs”</w:t>
      </w:r>
    </w:p>
    <w:p w:rsid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>What were th</w:t>
      </w:r>
      <w:r>
        <w:rPr>
          <w:rFonts w:ascii="Times New Roman" w:hAnsi="Times New Roman"/>
          <w:sz w:val="40"/>
          <w:szCs w:val="40"/>
        </w:rPr>
        <w:t xml:space="preserve">e key points highlighted in the </w:t>
      </w:r>
      <w:r w:rsidRPr="00EC2BD6">
        <w:rPr>
          <w:rFonts w:ascii="Times New Roman" w:hAnsi="Times New Roman"/>
          <w:sz w:val="40"/>
          <w:szCs w:val="40"/>
        </w:rPr>
        <w:t>article?</w:t>
      </w:r>
    </w:p>
    <w:p w:rsidR="008161D6" w:rsidRDefault="00673130" w:rsidP="008161D6">
      <w:pPr>
        <w:pStyle w:val="ListParagraph"/>
        <w:numPr>
          <w:ilvl w:val="0"/>
          <w:numId w:val="46"/>
        </w:numPr>
        <w:rPr>
          <w:rFonts w:ascii="Times New Roman" w:hAnsi="Times New Roman"/>
          <w:color w:val="FF0000"/>
          <w:sz w:val="40"/>
          <w:szCs w:val="40"/>
        </w:rPr>
      </w:pPr>
      <w:r w:rsidRPr="008161D6">
        <w:rPr>
          <w:rFonts w:ascii="Times New Roman" w:hAnsi="Times New Roman"/>
          <w:color w:val="FF0000"/>
          <w:sz w:val="40"/>
          <w:szCs w:val="40"/>
        </w:rPr>
        <w:t xml:space="preserve">The overall key point, of course, was the comparison between the ISLLC model standards and </w:t>
      </w:r>
      <w:proofErr w:type="spellStart"/>
      <w:r w:rsidRPr="008161D6">
        <w:rPr>
          <w:rFonts w:ascii="Times New Roman" w:hAnsi="Times New Roman"/>
          <w:color w:val="FF0000"/>
          <w:sz w:val="40"/>
          <w:szCs w:val="40"/>
        </w:rPr>
        <w:t>McREL’s</w:t>
      </w:r>
      <w:proofErr w:type="spellEnd"/>
      <w:r w:rsidRPr="008161D6">
        <w:rPr>
          <w:rFonts w:ascii="Times New Roman" w:hAnsi="Times New Roman"/>
          <w:color w:val="FF0000"/>
          <w:sz w:val="40"/>
          <w:szCs w:val="40"/>
        </w:rPr>
        <w:t xml:space="preserve"> Balanced Leadership Framework.  </w:t>
      </w:r>
    </w:p>
    <w:p w:rsidR="008161D6" w:rsidRDefault="008161D6" w:rsidP="008161D6">
      <w:pPr>
        <w:pStyle w:val="ListParagraph"/>
        <w:numPr>
          <w:ilvl w:val="0"/>
          <w:numId w:val="46"/>
        </w:numPr>
        <w:rPr>
          <w:rFonts w:ascii="Times New Roman" w:hAnsi="Times New Roman"/>
          <w:color w:val="FF0000"/>
          <w:sz w:val="40"/>
          <w:szCs w:val="40"/>
        </w:rPr>
      </w:pPr>
      <w:proofErr w:type="spellStart"/>
      <w:proofErr w:type="gramStart"/>
      <w:r>
        <w:rPr>
          <w:rFonts w:ascii="Times New Roman" w:hAnsi="Times New Roman"/>
          <w:color w:val="FF0000"/>
          <w:sz w:val="40"/>
          <w:szCs w:val="40"/>
        </w:rPr>
        <w:t>McREL’s</w:t>
      </w:r>
      <w:proofErr w:type="spellEnd"/>
      <w:r>
        <w:rPr>
          <w:rFonts w:ascii="Times New Roman" w:hAnsi="Times New Roman"/>
          <w:color w:val="FF0000"/>
          <w:sz w:val="40"/>
          <w:szCs w:val="40"/>
        </w:rPr>
        <w:t xml:space="preserve">  analy</w:t>
      </w:r>
      <w:r w:rsidR="00673130" w:rsidRPr="008161D6">
        <w:rPr>
          <w:rFonts w:ascii="Times New Roman" w:hAnsi="Times New Roman"/>
          <w:color w:val="FF0000"/>
          <w:sz w:val="40"/>
          <w:szCs w:val="40"/>
        </w:rPr>
        <w:t>sis</w:t>
      </w:r>
      <w:proofErr w:type="gramEnd"/>
      <w:r w:rsidR="00673130" w:rsidRPr="008161D6">
        <w:rPr>
          <w:rFonts w:ascii="Times New Roman" w:hAnsi="Times New Roman"/>
          <w:color w:val="FF0000"/>
          <w:sz w:val="40"/>
          <w:szCs w:val="40"/>
        </w:rPr>
        <w:t xml:space="preserve"> was research based, while the ISLLC was not.  </w:t>
      </w:r>
    </w:p>
    <w:p w:rsidR="008161D6" w:rsidRDefault="00673130" w:rsidP="008161D6">
      <w:pPr>
        <w:pStyle w:val="ListParagraph"/>
        <w:numPr>
          <w:ilvl w:val="0"/>
          <w:numId w:val="46"/>
        </w:numPr>
        <w:rPr>
          <w:rFonts w:ascii="Times New Roman" w:hAnsi="Times New Roman"/>
          <w:color w:val="FF0000"/>
          <w:sz w:val="40"/>
          <w:szCs w:val="40"/>
        </w:rPr>
      </w:pPr>
      <w:r w:rsidRPr="008161D6">
        <w:rPr>
          <w:rFonts w:ascii="Times New Roman" w:hAnsi="Times New Roman"/>
          <w:color w:val="FF0000"/>
          <w:sz w:val="40"/>
          <w:szCs w:val="40"/>
        </w:rPr>
        <w:t xml:space="preserve">The major key point was that all of the ISLLC standards, although important, are </w:t>
      </w:r>
      <w:r w:rsidRPr="008161D6">
        <w:rPr>
          <w:rFonts w:ascii="Times New Roman" w:hAnsi="Times New Roman"/>
          <w:color w:val="FF0000"/>
          <w:sz w:val="40"/>
          <w:szCs w:val="40"/>
          <w:highlight w:val="yellow"/>
        </w:rPr>
        <w:t>not essential</w:t>
      </w:r>
      <w:r w:rsidRPr="008161D6">
        <w:rPr>
          <w:rFonts w:ascii="Times New Roman" w:hAnsi="Times New Roman"/>
          <w:color w:val="FF0000"/>
          <w:sz w:val="40"/>
          <w:szCs w:val="40"/>
        </w:rPr>
        <w:t xml:space="preserve">  for high levels of student achievement, where as the findings identified in </w:t>
      </w:r>
      <w:proofErr w:type="spellStart"/>
      <w:r w:rsidRPr="008161D6">
        <w:rPr>
          <w:rFonts w:ascii="Times New Roman" w:hAnsi="Times New Roman"/>
          <w:color w:val="FF0000"/>
          <w:sz w:val="40"/>
          <w:szCs w:val="40"/>
        </w:rPr>
        <w:t>McREL’s</w:t>
      </w:r>
      <w:proofErr w:type="spellEnd"/>
      <w:r w:rsidRPr="008161D6">
        <w:rPr>
          <w:rFonts w:ascii="Times New Roman" w:hAnsi="Times New Roman"/>
          <w:color w:val="FF0000"/>
          <w:sz w:val="40"/>
          <w:szCs w:val="40"/>
        </w:rPr>
        <w:t xml:space="preserve">  framework were deemed </w:t>
      </w:r>
      <w:r w:rsidRPr="008161D6">
        <w:rPr>
          <w:rFonts w:ascii="Times New Roman" w:hAnsi="Times New Roman"/>
          <w:color w:val="FF0000"/>
          <w:sz w:val="40"/>
          <w:szCs w:val="40"/>
          <w:highlight w:val="yellow"/>
        </w:rPr>
        <w:t>to be essential</w:t>
      </w:r>
      <w:r w:rsidRPr="008161D6">
        <w:rPr>
          <w:rFonts w:ascii="Times New Roman" w:hAnsi="Times New Roman"/>
          <w:color w:val="FF0000"/>
          <w:sz w:val="40"/>
          <w:szCs w:val="40"/>
        </w:rPr>
        <w:t xml:space="preserve"> for high levels of student achievement.</w:t>
      </w:r>
    </w:p>
    <w:p w:rsidR="008161D6" w:rsidRDefault="008161D6" w:rsidP="008161D6">
      <w:pPr>
        <w:pStyle w:val="ListParagraph"/>
        <w:numPr>
          <w:ilvl w:val="0"/>
          <w:numId w:val="46"/>
        </w:numPr>
        <w:rPr>
          <w:rFonts w:ascii="Times New Roman" w:hAnsi="Times New Roman"/>
          <w:color w:val="FF0000"/>
          <w:sz w:val="40"/>
          <w:szCs w:val="40"/>
        </w:rPr>
      </w:pPr>
      <w:r>
        <w:rPr>
          <w:rFonts w:ascii="Times New Roman" w:hAnsi="Times New Roman"/>
          <w:color w:val="FF0000"/>
          <w:sz w:val="40"/>
          <w:szCs w:val="40"/>
        </w:rPr>
        <w:t xml:space="preserve">The findings from </w:t>
      </w:r>
      <w:proofErr w:type="spellStart"/>
      <w:r>
        <w:rPr>
          <w:rFonts w:ascii="Times New Roman" w:hAnsi="Times New Roman"/>
          <w:color w:val="FF0000"/>
          <w:sz w:val="40"/>
          <w:szCs w:val="40"/>
        </w:rPr>
        <w:t>McREL’s</w:t>
      </w:r>
      <w:proofErr w:type="spellEnd"/>
      <w:r>
        <w:rPr>
          <w:rFonts w:ascii="Times New Roman" w:hAnsi="Times New Roman"/>
          <w:color w:val="FF0000"/>
          <w:sz w:val="40"/>
          <w:szCs w:val="40"/>
        </w:rPr>
        <w:t xml:space="preserve"> analysis may enhance the ISLLC standards by increasing their utility, providing research-based guidance and indentifying the most essential responsibilities of leadership.</w:t>
      </w:r>
    </w:p>
    <w:p w:rsidR="00B97D58" w:rsidRDefault="00B97D58" w:rsidP="008161D6">
      <w:pPr>
        <w:pStyle w:val="ListParagraph"/>
        <w:numPr>
          <w:ilvl w:val="0"/>
          <w:numId w:val="46"/>
        </w:numPr>
        <w:rPr>
          <w:rFonts w:ascii="Times New Roman" w:hAnsi="Times New Roman"/>
          <w:color w:val="FF0000"/>
          <w:sz w:val="40"/>
          <w:szCs w:val="40"/>
        </w:rPr>
      </w:pPr>
      <w:r>
        <w:rPr>
          <w:rFonts w:ascii="Times New Roman" w:hAnsi="Times New Roman"/>
          <w:color w:val="FF0000"/>
          <w:sz w:val="40"/>
          <w:szCs w:val="40"/>
        </w:rPr>
        <w:t>Leadership characteristics are different for 1</w:t>
      </w:r>
      <w:r w:rsidRPr="00B97D58">
        <w:rPr>
          <w:rFonts w:ascii="Times New Roman" w:hAnsi="Times New Roman"/>
          <w:color w:val="FF0000"/>
          <w:sz w:val="40"/>
          <w:szCs w:val="40"/>
          <w:vertAlign w:val="superscript"/>
        </w:rPr>
        <w:t>st</w:t>
      </w:r>
      <w:r>
        <w:rPr>
          <w:rFonts w:ascii="Times New Roman" w:hAnsi="Times New Roman"/>
          <w:color w:val="FF0000"/>
          <w:sz w:val="40"/>
          <w:szCs w:val="40"/>
        </w:rPr>
        <w:t xml:space="preserve"> order change and 2</w:t>
      </w:r>
      <w:r w:rsidRPr="00B97D58">
        <w:rPr>
          <w:rFonts w:ascii="Times New Roman" w:hAnsi="Times New Roman"/>
          <w:color w:val="FF0000"/>
          <w:sz w:val="40"/>
          <w:szCs w:val="40"/>
          <w:vertAlign w:val="superscript"/>
        </w:rPr>
        <w:t>nd</w:t>
      </w:r>
      <w:r>
        <w:rPr>
          <w:rFonts w:ascii="Times New Roman" w:hAnsi="Times New Roman"/>
          <w:color w:val="FF0000"/>
          <w:sz w:val="40"/>
          <w:szCs w:val="40"/>
        </w:rPr>
        <w:t xml:space="preserve"> order change.  Leadership characteristics are more direct for 1</w:t>
      </w:r>
      <w:r w:rsidRPr="00B97D58">
        <w:rPr>
          <w:rFonts w:ascii="Times New Roman" w:hAnsi="Times New Roman"/>
          <w:color w:val="FF0000"/>
          <w:sz w:val="40"/>
          <w:szCs w:val="40"/>
          <w:vertAlign w:val="superscript"/>
        </w:rPr>
        <w:t>st</w:t>
      </w:r>
      <w:r>
        <w:rPr>
          <w:rFonts w:ascii="Times New Roman" w:hAnsi="Times New Roman"/>
          <w:color w:val="FF0000"/>
          <w:sz w:val="40"/>
          <w:szCs w:val="40"/>
        </w:rPr>
        <w:t xml:space="preserve"> order change and more supportive and facilitative for 2</w:t>
      </w:r>
      <w:r w:rsidRPr="00B97D58">
        <w:rPr>
          <w:rFonts w:ascii="Times New Roman" w:hAnsi="Times New Roman"/>
          <w:color w:val="FF0000"/>
          <w:sz w:val="40"/>
          <w:szCs w:val="40"/>
          <w:vertAlign w:val="superscript"/>
        </w:rPr>
        <w:t>nd</w:t>
      </w:r>
      <w:r>
        <w:rPr>
          <w:rFonts w:ascii="Times New Roman" w:hAnsi="Times New Roman"/>
          <w:color w:val="FF0000"/>
          <w:sz w:val="40"/>
          <w:szCs w:val="40"/>
        </w:rPr>
        <w:t xml:space="preserve"> order change.</w:t>
      </w:r>
    </w:p>
    <w:p w:rsidR="008161D6" w:rsidRDefault="008161D6" w:rsidP="008161D6">
      <w:pPr>
        <w:rPr>
          <w:rFonts w:ascii="Times New Roman" w:hAnsi="Times New Roman"/>
          <w:color w:val="FF0000"/>
          <w:sz w:val="40"/>
          <w:szCs w:val="40"/>
        </w:rPr>
      </w:pPr>
    </w:p>
    <w:p w:rsidR="00EC2BD6" w:rsidRPr="008161D6" w:rsidRDefault="008161D6" w:rsidP="008161D6">
      <w:pPr>
        <w:rPr>
          <w:rFonts w:ascii="Times New Roman" w:hAnsi="Times New Roman"/>
          <w:color w:val="FF0000"/>
          <w:sz w:val="40"/>
          <w:szCs w:val="40"/>
        </w:rPr>
      </w:pPr>
      <w:r w:rsidRPr="008161D6">
        <w:rPr>
          <w:rFonts w:ascii="Times New Roman" w:hAnsi="Times New Roman"/>
          <w:color w:val="FF0000"/>
          <w:sz w:val="40"/>
          <w:szCs w:val="40"/>
        </w:rPr>
        <w:t xml:space="preserve">  </w:t>
      </w:r>
      <w:r w:rsidR="00673130" w:rsidRPr="008161D6">
        <w:rPr>
          <w:rFonts w:ascii="Times New Roman" w:hAnsi="Times New Roman"/>
          <w:color w:val="FF0000"/>
          <w:sz w:val="40"/>
          <w:szCs w:val="40"/>
        </w:rPr>
        <w:t xml:space="preserve"> 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Review the crosswalk of </w:t>
      </w:r>
      <w:proofErr w:type="spellStart"/>
      <w:r w:rsidRPr="00EC2BD6">
        <w:rPr>
          <w:rFonts w:ascii="Times New Roman" w:hAnsi="Times New Roman"/>
          <w:sz w:val="40"/>
          <w:szCs w:val="40"/>
        </w:rPr>
        <w:t>McRel’s</w:t>
      </w:r>
      <w:proofErr w:type="spellEnd"/>
      <w:r w:rsidRPr="00EC2BD6">
        <w:rPr>
          <w:rFonts w:ascii="Times New Roman" w:hAnsi="Times New Roman"/>
          <w:sz w:val="40"/>
          <w:szCs w:val="40"/>
        </w:rPr>
        <w:t xml:space="preserve"> work.  What is the correlation between the crosswalk, the article, and the </w:t>
      </w:r>
      <w:r>
        <w:rPr>
          <w:rFonts w:ascii="Times New Roman" w:hAnsi="Times New Roman"/>
          <w:sz w:val="40"/>
          <w:szCs w:val="40"/>
        </w:rPr>
        <w:t>Iowa Standards for School Leaders</w:t>
      </w:r>
      <w:r w:rsidRPr="00EC2BD6">
        <w:rPr>
          <w:rFonts w:ascii="Times New Roman" w:hAnsi="Times New Roman"/>
          <w:sz w:val="40"/>
          <w:szCs w:val="40"/>
        </w:rPr>
        <w:t>?</w:t>
      </w:r>
    </w:p>
    <w:p w:rsidR="00EC2BD6" w:rsidRDefault="008161D6" w:rsidP="008161D6">
      <w:pPr>
        <w:pStyle w:val="ListParagraph"/>
        <w:numPr>
          <w:ilvl w:val="0"/>
          <w:numId w:val="47"/>
        </w:numPr>
        <w:rPr>
          <w:rFonts w:ascii="Times New Roman" w:hAnsi="Times New Roman"/>
          <w:color w:val="FF0000"/>
          <w:sz w:val="40"/>
          <w:szCs w:val="40"/>
        </w:rPr>
      </w:pPr>
      <w:r>
        <w:rPr>
          <w:rFonts w:ascii="Times New Roman" w:hAnsi="Times New Roman"/>
          <w:color w:val="FF0000"/>
          <w:sz w:val="40"/>
          <w:szCs w:val="40"/>
        </w:rPr>
        <w:t>The Iowa Standards for School Leaders</w:t>
      </w:r>
      <w:r w:rsidR="00B97D58">
        <w:rPr>
          <w:rFonts w:ascii="Times New Roman" w:hAnsi="Times New Roman"/>
          <w:color w:val="FF0000"/>
          <w:sz w:val="40"/>
          <w:szCs w:val="40"/>
        </w:rPr>
        <w:t xml:space="preserve"> are more aligned with the Balanced Leadership Framework than the ISLLC standards by being </w:t>
      </w:r>
      <w:r w:rsidR="00B97D58" w:rsidRPr="00B97D58">
        <w:rPr>
          <w:rFonts w:ascii="Times New Roman" w:hAnsi="Times New Roman"/>
          <w:color w:val="FF0000"/>
          <w:sz w:val="40"/>
          <w:szCs w:val="40"/>
          <w:u w:val="single"/>
        </w:rPr>
        <w:t>research-based</w:t>
      </w:r>
      <w:r w:rsidR="00B97D58">
        <w:rPr>
          <w:rFonts w:ascii="Times New Roman" w:hAnsi="Times New Roman"/>
          <w:color w:val="FF0000"/>
          <w:sz w:val="40"/>
          <w:szCs w:val="40"/>
        </w:rPr>
        <w:t xml:space="preserve"> and </w:t>
      </w:r>
      <w:r w:rsidR="00B97D58" w:rsidRPr="00B97D58">
        <w:rPr>
          <w:rFonts w:ascii="Times New Roman" w:hAnsi="Times New Roman"/>
          <w:color w:val="FF0000"/>
          <w:sz w:val="40"/>
          <w:szCs w:val="40"/>
          <w:u w:val="single"/>
        </w:rPr>
        <w:t>essential for high levels of student achievement</w:t>
      </w:r>
      <w:r w:rsidR="00B97D58">
        <w:rPr>
          <w:rFonts w:ascii="Times New Roman" w:hAnsi="Times New Roman"/>
          <w:color w:val="FF0000"/>
          <w:sz w:val="40"/>
          <w:szCs w:val="40"/>
        </w:rPr>
        <w:t>.</w:t>
      </w:r>
    </w:p>
    <w:p w:rsidR="00B97D58" w:rsidRDefault="00E71227" w:rsidP="008161D6">
      <w:pPr>
        <w:pStyle w:val="ListParagraph"/>
        <w:numPr>
          <w:ilvl w:val="0"/>
          <w:numId w:val="47"/>
        </w:numPr>
        <w:rPr>
          <w:rFonts w:ascii="Times New Roman" w:hAnsi="Times New Roman"/>
          <w:color w:val="FF0000"/>
          <w:sz w:val="40"/>
          <w:szCs w:val="40"/>
        </w:rPr>
      </w:pPr>
      <w:r>
        <w:rPr>
          <w:rFonts w:ascii="Times New Roman" w:hAnsi="Times New Roman"/>
          <w:color w:val="FF0000"/>
          <w:sz w:val="40"/>
          <w:szCs w:val="40"/>
        </w:rPr>
        <w:t xml:space="preserve">When reviewing the 6 Iowa Standards, there appears to be a direct correlation between all 21 Responsibilities identified by </w:t>
      </w:r>
      <w:proofErr w:type="spellStart"/>
      <w:r>
        <w:rPr>
          <w:rFonts w:ascii="Times New Roman" w:hAnsi="Times New Roman"/>
          <w:color w:val="FF0000"/>
          <w:sz w:val="40"/>
          <w:szCs w:val="40"/>
        </w:rPr>
        <w:t>McREL</w:t>
      </w:r>
      <w:proofErr w:type="spellEnd"/>
      <w:r>
        <w:rPr>
          <w:rFonts w:ascii="Times New Roman" w:hAnsi="Times New Roman"/>
          <w:color w:val="FF0000"/>
          <w:sz w:val="40"/>
          <w:szCs w:val="40"/>
        </w:rPr>
        <w:t>, therefore giving the 6 Iowa Standards a high effect size to impact student achievement.</w:t>
      </w:r>
    </w:p>
    <w:p w:rsidR="00E71227" w:rsidRPr="008161D6" w:rsidRDefault="00E71227" w:rsidP="008161D6">
      <w:pPr>
        <w:pStyle w:val="ListParagraph"/>
        <w:numPr>
          <w:ilvl w:val="0"/>
          <w:numId w:val="47"/>
        </w:numPr>
        <w:rPr>
          <w:rFonts w:ascii="Times New Roman" w:hAnsi="Times New Roman"/>
          <w:color w:val="FF0000"/>
          <w:sz w:val="40"/>
          <w:szCs w:val="40"/>
        </w:rPr>
      </w:pPr>
      <w:r>
        <w:rPr>
          <w:rFonts w:ascii="Times New Roman" w:hAnsi="Times New Roman"/>
          <w:color w:val="FF0000"/>
          <w:sz w:val="40"/>
          <w:szCs w:val="40"/>
        </w:rPr>
        <w:t xml:space="preserve">The process taken by the State of Iowa also appears to align with </w:t>
      </w:r>
      <w:proofErr w:type="spellStart"/>
      <w:r>
        <w:rPr>
          <w:rFonts w:ascii="Times New Roman" w:hAnsi="Times New Roman"/>
          <w:color w:val="FF0000"/>
          <w:sz w:val="40"/>
          <w:szCs w:val="40"/>
        </w:rPr>
        <w:t>McREL’s</w:t>
      </w:r>
      <w:proofErr w:type="spellEnd"/>
      <w:r>
        <w:rPr>
          <w:rFonts w:ascii="Times New Roman" w:hAnsi="Times New Roman"/>
          <w:color w:val="FF0000"/>
          <w:sz w:val="40"/>
          <w:szCs w:val="40"/>
        </w:rPr>
        <w:t xml:space="preserve"> recommendations to policy makers such as (a) improving the licensure and re-licensure of administrators, (b) developing knowledge and skills of  preparation programs, (c) committing the resources necessary for professional development, (d) providing tools to support leadership practices, (e) </w:t>
      </w:r>
      <w:r w:rsidR="0042489A">
        <w:rPr>
          <w:rFonts w:ascii="Times New Roman" w:hAnsi="Times New Roman"/>
          <w:color w:val="FF0000"/>
          <w:sz w:val="40"/>
          <w:szCs w:val="40"/>
        </w:rPr>
        <w:t>monitoring changes, (f) supporting  2</w:t>
      </w:r>
      <w:r w:rsidR="0042489A" w:rsidRPr="0042489A">
        <w:rPr>
          <w:rFonts w:ascii="Times New Roman" w:hAnsi="Times New Roman"/>
          <w:color w:val="FF0000"/>
          <w:sz w:val="40"/>
          <w:szCs w:val="40"/>
          <w:vertAlign w:val="superscript"/>
        </w:rPr>
        <w:t>nd</w:t>
      </w:r>
      <w:r w:rsidR="0042489A">
        <w:rPr>
          <w:rFonts w:ascii="Times New Roman" w:hAnsi="Times New Roman"/>
          <w:color w:val="FF0000"/>
          <w:sz w:val="40"/>
          <w:szCs w:val="40"/>
        </w:rPr>
        <w:t xml:space="preserve"> order change implications</w:t>
      </w:r>
      <w:r>
        <w:rPr>
          <w:rFonts w:ascii="Times New Roman" w:hAnsi="Times New Roman"/>
          <w:color w:val="FF0000"/>
          <w:sz w:val="40"/>
          <w:szCs w:val="40"/>
        </w:rPr>
        <w:t xml:space="preserve"> 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42489A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lastRenderedPageBreak/>
        <w:t xml:space="preserve">What are </w:t>
      </w:r>
      <w:r>
        <w:rPr>
          <w:rFonts w:ascii="Times New Roman" w:hAnsi="Times New Roman"/>
          <w:sz w:val="40"/>
          <w:szCs w:val="40"/>
        </w:rPr>
        <w:t xml:space="preserve">the pluses and minuses of </w:t>
      </w:r>
      <w:r w:rsidRPr="00EC2BD6">
        <w:rPr>
          <w:rFonts w:ascii="Times New Roman" w:hAnsi="Times New Roman"/>
          <w:sz w:val="40"/>
          <w:szCs w:val="40"/>
        </w:rPr>
        <w:t>focusing</w:t>
      </w:r>
      <w:r>
        <w:rPr>
          <w:rFonts w:ascii="Times New Roman" w:hAnsi="Times New Roman"/>
          <w:sz w:val="40"/>
          <w:szCs w:val="40"/>
        </w:rPr>
        <w:t xml:space="preserve"> </w:t>
      </w:r>
      <w:r w:rsidRPr="00EC2BD6">
        <w:rPr>
          <w:rFonts w:ascii="Times New Roman" w:hAnsi="Times New Roman"/>
          <w:i/>
          <w:sz w:val="40"/>
          <w:szCs w:val="40"/>
        </w:rPr>
        <w:t xml:space="preserve">daily </w:t>
      </w:r>
      <w:r w:rsidRPr="00EC2BD6">
        <w:rPr>
          <w:rFonts w:ascii="Times New Roman" w:hAnsi="Times New Roman"/>
          <w:sz w:val="40"/>
          <w:szCs w:val="40"/>
        </w:rPr>
        <w:t xml:space="preserve">on </w:t>
      </w:r>
      <w:r>
        <w:rPr>
          <w:rFonts w:ascii="Times New Roman" w:hAnsi="Times New Roman"/>
          <w:sz w:val="40"/>
          <w:szCs w:val="40"/>
        </w:rPr>
        <w:t>the standards</w:t>
      </w:r>
      <w:r w:rsidRPr="00EC2BD6">
        <w:rPr>
          <w:rFonts w:ascii="Times New Roman" w:hAnsi="Times New Roman"/>
          <w:sz w:val="40"/>
          <w:szCs w:val="40"/>
        </w:rPr>
        <w:t xml:space="preserve"> and the leadership responsibilities in your work with your building administrators?</w:t>
      </w:r>
    </w:p>
    <w:p w:rsidR="0042489A" w:rsidRDefault="0042489A" w:rsidP="0042489A">
      <w:pPr>
        <w:ind w:left="720"/>
        <w:rPr>
          <w:rFonts w:ascii="Times New Roman" w:hAnsi="Times New Roman"/>
          <w:color w:val="FF0000"/>
          <w:sz w:val="40"/>
          <w:szCs w:val="40"/>
        </w:rPr>
      </w:pPr>
      <w:r>
        <w:rPr>
          <w:rFonts w:ascii="Times New Roman" w:hAnsi="Times New Roman"/>
          <w:color w:val="FF0000"/>
          <w:sz w:val="40"/>
          <w:szCs w:val="40"/>
        </w:rPr>
        <w:t xml:space="preserve">PLUSES:  1. </w:t>
      </w:r>
      <w:proofErr w:type="gramStart"/>
      <w:r>
        <w:rPr>
          <w:rFonts w:ascii="Times New Roman" w:hAnsi="Times New Roman"/>
          <w:color w:val="FF0000"/>
          <w:sz w:val="40"/>
          <w:szCs w:val="40"/>
        </w:rPr>
        <w:t>Maintains</w:t>
      </w:r>
      <w:proofErr w:type="gramEnd"/>
      <w:r>
        <w:rPr>
          <w:rFonts w:ascii="Times New Roman" w:hAnsi="Times New Roman"/>
          <w:color w:val="FF0000"/>
          <w:sz w:val="40"/>
          <w:szCs w:val="40"/>
        </w:rPr>
        <w:t xml:space="preserve"> our focus on what it takes to positively impact student achievement.  2. Provides a “Guiding Light” for administrators and teachers toward our ultimate outcome of student learning and achievement.  3. Provides opportunities for richer, deeper, more focused and more meaningful dialogue/ conversations with administrators and teachers.</w:t>
      </w:r>
      <w:r w:rsidR="00A85CD7">
        <w:rPr>
          <w:rFonts w:ascii="Times New Roman" w:hAnsi="Times New Roman"/>
          <w:color w:val="FF0000"/>
          <w:sz w:val="40"/>
          <w:szCs w:val="40"/>
        </w:rPr>
        <w:t xml:space="preserve">  4. In the long run, this approach should create a more positive culture and environment for teaching and learning.</w:t>
      </w:r>
    </w:p>
    <w:p w:rsidR="0042489A" w:rsidRDefault="0042489A" w:rsidP="0042489A">
      <w:pPr>
        <w:ind w:left="720"/>
        <w:rPr>
          <w:rFonts w:ascii="Times New Roman" w:hAnsi="Times New Roman"/>
          <w:color w:val="FF0000"/>
          <w:sz w:val="40"/>
          <w:szCs w:val="40"/>
        </w:rPr>
      </w:pPr>
    </w:p>
    <w:p w:rsidR="00A85CD7" w:rsidRDefault="00A85CD7" w:rsidP="0042489A">
      <w:pPr>
        <w:ind w:left="720"/>
        <w:rPr>
          <w:rFonts w:ascii="Times New Roman" w:hAnsi="Times New Roman"/>
          <w:color w:val="FF0000"/>
          <w:sz w:val="40"/>
          <w:szCs w:val="40"/>
        </w:rPr>
      </w:pPr>
      <w:r>
        <w:rPr>
          <w:rFonts w:ascii="Times New Roman" w:hAnsi="Times New Roman"/>
          <w:color w:val="FF0000"/>
          <w:sz w:val="40"/>
          <w:szCs w:val="40"/>
        </w:rPr>
        <w:t xml:space="preserve">MINUSES:  1. </w:t>
      </w:r>
      <w:proofErr w:type="gramStart"/>
      <w:r>
        <w:rPr>
          <w:rFonts w:ascii="Times New Roman" w:hAnsi="Times New Roman"/>
          <w:color w:val="FF0000"/>
          <w:sz w:val="40"/>
          <w:szCs w:val="40"/>
        </w:rPr>
        <w:t>More</w:t>
      </w:r>
      <w:proofErr w:type="gramEnd"/>
      <w:r>
        <w:rPr>
          <w:rFonts w:ascii="Times New Roman" w:hAnsi="Times New Roman"/>
          <w:color w:val="FF0000"/>
          <w:sz w:val="40"/>
          <w:szCs w:val="40"/>
        </w:rPr>
        <w:t xml:space="preserve"> time is needed in an already busy schedule for </w:t>
      </w:r>
      <w:r w:rsidR="0042489A">
        <w:rPr>
          <w:rFonts w:ascii="Times New Roman" w:hAnsi="Times New Roman"/>
          <w:color w:val="FF0000"/>
          <w:sz w:val="40"/>
          <w:szCs w:val="40"/>
        </w:rPr>
        <w:t>planning, preparation, observations, conferences, etc.  (</w:t>
      </w:r>
      <w:proofErr w:type="gramStart"/>
      <w:r w:rsidR="0042489A">
        <w:rPr>
          <w:rFonts w:ascii="Times New Roman" w:hAnsi="Times New Roman"/>
          <w:color w:val="FF0000"/>
          <w:sz w:val="40"/>
          <w:szCs w:val="40"/>
        </w:rPr>
        <w:t>this</w:t>
      </w:r>
      <w:proofErr w:type="gramEnd"/>
      <w:r w:rsidR="0042489A">
        <w:rPr>
          <w:rFonts w:ascii="Times New Roman" w:hAnsi="Times New Roman"/>
          <w:color w:val="FF0000"/>
          <w:sz w:val="40"/>
          <w:szCs w:val="40"/>
        </w:rPr>
        <w:t xml:space="preserve"> could actually be a plus).  2. Administrators have to balance the daily operation of a district/school with the high accountability of standards and student achievement</w:t>
      </w:r>
      <w:r>
        <w:rPr>
          <w:rFonts w:ascii="Times New Roman" w:hAnsi="Times New Roman"/>
          <w:color w:val="FF0000"/>
          <w:sz w:val="40"/>
          <w:szCs w:val="40"/>
        </w:rPr>
        <w:t>.</w:t>
      </w:r>
    </w:p>
    <w:p w:rsidR="00A85CD7" w:rsidRDefault="00A85CD7" w:rsidP="0042489A">
      <w:pPr>
        <w:ind w:left="720"/>
        <w:rPr>
          <w:rFonts w:ascii="Times New Roman" w:hAnsi="Times New Roman"/>
          <w:color w:val="FF0000"/>
          <w:sz w:val="40"/>
          <w:szCs w:val="40"/>
        </w:rPr>
      </w:pPr>
    </w:p>
    <w:p w:rsidR="00EC2BD6" w:rsidRPr="00EC2BD6" w:rsidRDefault="00A85CD7" w:rsidP="0042489A">
      <w:pPr>
        <w:ind w:left="72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color w:val="FF0000"/>
          <w:sz w:val="40"/>
          <w:szCs w:val="40"/>
        </w:rPr>
        <w:t>It could probably be argued that any minus identified is actually a plus because we are trying to do the “right thing.</w:t>
      </w:r>
      <w:r w:rsidR="0042489A">
        <w:rPr>
          <w:rFonts w:ascii="Times New Roman" w:hAnsi="Times New Roman"/>
          <w:color w:val="FF0000"/>
          <w:sz w:val="40"/>
          <w:szCs w:val="40"/>
        </w:rPr>
        <w:t xml:space="preserve">   </w:t>
      </w:r>
      <w:r w:rsidR="00EC2BD6" w:rsidRPr="00EC2BD6">
        <w:rPr>
          <w:rFonts w:ascii="Times New Roman" w:hAnsi="Times New Roman"/>
          <w:sz w:val="40"/>
          <w:szCs w:val="40"/>
        </w:rPr>
        <w:t xml:space="preserve"> </w:t>
      </w:r>
    </w:p>
    <w:p w:rsidR="00EC2BD6" w:rsidRP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1959D0" w:rsidRDefault="001959D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Pr="00CF2940" w:rsidRDefault="00CF2940" w:rsidP="001959D0">
      <w:pPr>
        <w:ind w:left="180"/>
        <w:rPr>
          <w:rFonts w:ascii="Times New Roman" w:hAnsi="Times New Roman"/>
          <w:i/>
          <w:szCs w:val="24"/>
          <w:highlight w:val="yellow"/>
        </w:rPr>
      </w:pPr>
      <w:r w:rsidRPr="00CF2940">
        <w:rPr>
          <w:rFonts w:ascii="Times New Roman" w:hAnsi="Times New Roman"/>
          <w:i/>
          <w:szCs w:val="24"/>
          <w:highlight w:val="yellow"/>
        </w:rPr>
        <w:t>Save on desktop as “Last Name, Module 3</w:t>
      </w:r>
      <w:r>
        <w:rPr>
          <w:rFonts w:ascii="Times New Roman" w:hAnsi="Times New Roman"/>
          <w:i/>
          <w:szCs w:val="24"/>
          <w:highlight w:val="yellow"/>
        </w:rPr>
        <w:t xml:space="preserve"> Article Reflection</w:t>
      </w:r>
      <w:proofErr w:type="gramStart"/>
      <w:r w:rsidRPr="00CF2940">
        <w:rPr>
          <w:rFonts w:ascii="Times New Roman" w:hAnsi="Times New Roman"/>
          <w:i/>
          <w:szCs w:val="24"/>
          <w:highlight w:val="yellow"/>
        </w:rPr>
        <w:t>”  Ex</w:t>
      </w:r>
      <w:proofErr w:type="gramEnd"/>
      <w:r w:rsidRPr="00CF2940">
        <w:rPr>
          <w:rFonts w:ascii="Times New Roman" w:hAnsi="Times New Roman"/>
          <w:i/>
          <w:szCs w:val="24"/>
          <w:highlight w:val="yellow"/>
        </w:rPr>
        <w:t>:  Norgaard, Module 3.</w:t>
      </w:r>
    </w:p>
    <w:p w:rsidR="00CF2940" w:rsidRPr="001959D0" w:rsidRDefault="00CF2940" w:rsidP="001959D0">
      <w:pPr>
        <w:ind w:left="18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highlight w:val="yellow"/>
        </w:rPr>
        <w:t xml:space="preserve">Upload </w:t>
      </w:r>
      <w:r w:rsidRPr="00CF2940">
        <w:rPr>
          <w:rFonts w:ascii="Times New Roman" w:hAnsi="Times New Roman"/>
          <w:i/>
          <w:szCs w:val="24"/>
          <w:highlight w:val="yellow"/>
        </w:rPr>
        <w:t xml:space="preserve"> on Module 3 page of the Evaluator Approval Wiki.</w:t>
      </w:r>
    </w:p>
    <w:sectPr w:rsidR="00CF2940" w:rsidRPr="001959D0" w:rsidSect="00EC2BD6">
      <w:type w:val="continuous"/>
      <w:pgSz w:w="12240" w:h="15840"/>
      <w:pgMar w:top="1440" w:right="144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89A" w:rsidRDefault="0042489A">
      <w:r>
        <w:separator/>
      </w:r>
    </w:p>
  </w:endnote>
  <w:endnote w:type="continuationSeparator" w:id="0">
    <w:p w:rsidR="0042489A" w:rsidRDefault="00424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89A" w:rsidRPr="00DB1D4A" w:rsidRDefault="0042489A" w:rsidP="00DB1D4A">
    <w:pPr>
      <w:pStyle w:val="Footer"/>
      <w:rPr>
        <w:sz w:val="20"/>
      </w:rPr>
    </w:pPr>
    <w:r>
      <w:rPr>
        <w:sz w:val="20"/>
      </w:rPr>
      <w:t xml:space="preserve">Module 3:  Tool 3.12                                                                     ©2007                           Module 3 </w:t>
    </w:r>
    <w:proofErr w:type="gramStart"/>
    <w:r>
      <w:rPr>
        <w:sz w:val="20"/>
      </w:rPr>
      <w:t xml:space="preserve">Handout  </w:t>
    </w:r>
    <w:proofErr w:type="gramEnd"/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 w:rsidR="000A7AFC">
      <w:rPr>
        <w:rStyle w:val="PageNumber"/>
        <w:noProof/>
        <w:sz w:val="20"/>
      </w:rPr>
      <w:t>51</w:t>
    </w:r>
    <w:r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89A" w:rsidRDefault="0042489A">
      <w:r>
        <w:separator/>
      </w:r>
    </w:p>
  </w:footnote>
  <w:footnote w:type="continuationSeparator" w:id="0">
    <w:p w:rsidR="0042489A" w:rsidRDefault="004248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89A" w:rsidRPr="00ED16E0" w:rsidRDefault="0042489A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Wiki Reflection</w:t>
    </w:r>
  </w:p>
  <w:p w:rsidR="0042489A" w:rsidRDefault="0042489A" w:rsidP="00DB1D4A">
    <w:pPr>
      <w:pStyle w:val="Header"/>
      <w:jc w:val="right"/>
      <w:rPr>
        <w:i/>
        <w:sz w:val="20"/>
      </w:rPr>
    </w:pPr>
    <w:r>
      <w:rPr>
        <w:i/>
        <w:sz w:val="20"/>
      </w:rPr>
      <w:t>IEATP II:  Evaluation of Administrators</w:t>
    </w:r>
  </w:p>
  <w:p w:rsidR="0042489A" w:rsidRPr="00DB1D4A" w:rsidRDefault="0042489A" w:rsidP="00DB1D4A">
    <w:pPr>
      <w:pStyle w:val="Header"/>
      <w:jc w:val="right"/>
      <w:rPr>
        <w:i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BD10264_"/>
      </v:shape>
    </w:pict>
  </w:numPicBullet>
  <w:abstractNum w:abstractNumId="0">
    <w:nsid w:val="FFFFFFFE"/>
    <w:multiLevelType w:val="singleLevel"/>
    <w:tmpl w:val="BC302094"/>
    <w:lvl w:ilvl="0">
      <w:numFmt w:val="bullet"/>
      <w:lvlText w:val="*"/>
      <w:lvlJc w:val="left"/>
    </w:lvl>
  </w:abstractNum>
  <w:abstractNum w:abstractNumId="1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925EA"/>
    <w:multiLevelType w:val="hybridMultilevel"/>
    <w:tmpl w:val="9C8C41C4"/>
    <w:lvl w:ilvl="0" w:tplc="CCDE05F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D0939AF"/>
    <w:multiLevelType w:val="hybridMultilevel"/>
    <w:tmpl w:val="DBF6E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84264F"/>
    <w:multiLevelType w:val="hybridMultilevel"/>
    <w:tmpl w:val="4E3A6556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064A23"/>
    <w:multiLevelType w:val="hybridMultilevel"/>
    <w:tmpl w:val="DCC06E2C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7D383C"/>
    <w:multiLevelType w:val="hybridMultilevel"/>
    <w:tmpl w:val="0DE217EA"/>
    <w:lvl w:ilvl="0" w:tplc="D80261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AC19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3EE8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410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1CFA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008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EA47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D2D2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381E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91B70C3"/>
    <w:multiLevelType w:val="hybridMultilevel"/>
    <w:tmpl w:val="4BD24BB6"/>
    <w:lvl w:ilvl="0" w:tplc="E544E2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DA48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0ED8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499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0C64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2CEA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CCF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82A3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B039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1">
    <w:nsid w:val="6E26016A"/>
    <w:multiLevelType w:val="hybridMultilevel"/>
    <w:tmpl w:val="B030D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A435AD"/>
    <w:multiLevelType w:val="hybridMultilevel"/>
    <w:tmpl w:val="DB3E74D4"/>
    <w:lvl w:ilvl="0" w:tplc="58FAE9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8077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9A03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C286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4447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AEE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6C98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8E83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CEF6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12"/>
  </w:num>
  <w:num w:numId="4">
    <w:abstractNumId w:val="34"/>
  </w:num>
  <w:num w:numId="5">
    <w:abstractNumId w:val="14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36"/>
  </w:num>
  <w:num w:numId="11">
    <w:abstractNumId w:val="1"/>
  </w:num>
  <w:num w:numId="12">
    <w:abstractNumId w:val="44"/>
  </w:num>
  <w:num w:numId="13">
    <w:abstractNumId w:val="24"/>
  </w:num>
  <w:num w:numId="14">
    <w:abstractNumId w:val="42"/>
  </w:num>
  <w:num w:numId="15">
    <w:abstractNumId w:val="19"/>
  </w:num>
  <w:num w:numId="16">
    <w:abstractNumId w:val="46"/>
  </w:num>
  <w:num w:numId="17">
    <w:abstractNumId w:val="20"/>
  </w:num>
  <w:num w:numId="18">
    <w:abstractNumId w:val="17"/>
  </w:num>
  <w:num w:numId="19">
    <w:abstractNumId w:val="9"/>
  </w:num>
  <w:num w:numId="20">
    <w:abstractNumId w:val="13"/>
  </w:num>
  <w:num w:numId="21">
    <w:abstractNumId w:val="32"/>
  </w:num>
  <w:num w:numId="22">
    <w:abstractNumId w:val="7"/>
  </w:num>
  <w:num w:numId="23">
    <w:abstractNumId w:val="35"/>
  </w:num>
  <w:num w:numId="24">
    <w:abstractNumId w:val="2"/>
  </w:num>
  <w:num w:numId="25">
    <w:abstractNumId w:val="10"/>
  </w:num>
  <w:num w:numId="26">
    <w:abstractNumId w:val="8"/>
  </w:num>
  <w:num w:numId="27">
    <w:abstractNumId w:val="33"/>
  </w:num>
  <w:num w:numId="28">
    <w:abstractNumId w:val="21"/>
  </w:num>
  <w:num w:numId="29">
    <w:abstractNumId w:val="15"/>
  </w:num>
  <w:num w:numId="30">
    <w:abstractNumId w:val="26"/>
  </w:num>
  <w:num w:numId="31">
    <w:abstractNumId w:val="23"/>
  </w:num>
  <w:num w:numId="32">
    <w:abstractNumId w:val="6"/>
  </w:num>
  <w:num w:numId="33">
    <w:abstractNumId w:val="43"/>
  </w:num>
  <w:num w:numId="34">
    <w:abstractNumId w:val="5"/>
  </w:num>
  <w:num w:numId="35">
    <w:abstractNumId w:val="40"/>
  </w:num>
  <w:num w:numId="36">
    <w:abstractNumId w:val="37"/>
  </w:num>
  <w:num w:numId="37">
    <w:abstractNumId w:val="11"/>
  </w:num>
  <w:num w:numId="38">
    <w:abstractNumId w:val="22"/>
  </w:num>
  <w:num w:numId="39">
    <w:abstractNumId w:val="38"/>
  </w:num>
  <w:num w:numId="40">
    <w:abstractNumId w:val="39"/>
  </w:num>
  <w:num w:numId="41">
    <w:abstractNumId w:val="31"/>
  </w:num>
  <w:num w:numId="42">
    <w:abstractNumId w:val="3"/>
  </w:num>
  <w:num w:numId="4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44">
    <w:abstractNumId w:val="16"/>
  </w:num>
  <w:num w:numId="45">
    <w:abstractNumId w:val="45"/>
  </w:num>
  <w:num w:numId="46">
    <w:abstractNumId w:val="4"/>
  </w:num>
  <w:num w:numId="47">
    <w:abstractNumId w:val="4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characterSpacingControl w:val="doNotCompress"/>
  <w:hdrShapeDefaults>
    <o:shapedefaults v:ext="edit" spidmax="4097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77F5C"/>
    <w:rsid w:val="000815E9"/>
    <w:rsid w:val="00084C09"/>
    <w:rsid w:val="000954F9"/>
    <w:rsid w:val="000A3AEE"/>
    <w:rsid w:val="000A414A"/>
    <w:rsid w:val="000A7AFC"/>
    <w:rsid w:val="000B0C05"/>
    <w:rsid w:val="000B6517"/>
    <w:rsid w:val="000C1E96"/>
    <w:rsid w:val="000C40B9"/>
    <w:rsid w:val="000D4798"/>
    <w:rsid w:val="000E7B04"/>
    <w:rsid w:val="001136B2"/>
    <w:rsid w:val="00135DCA"/>
    <w:rsid w:val="00185DFD"/>
    <w:rsid w:val="001959D0"/>
    <w:rsid w:val="001A4FA5"/>
    <w:rsid w:val="001B37C5"/>
    <w:rsid w:val="001C4D37"/>
    <w:rsid w:val="001F76E6"/>
    <w:rsid w:val="002236BE"/>
    <w:rsid w:val="002268DC"/>
    <w:rsid w:val="0024646E"/>
    <w:rsid w:val="0025098A"/>
    <w:rsid w:val="00253B1A"/>
    <w:rsid w:val="002548D4"/>
    <w:rsid w:val="002C2E61"/>
    <w:rsid w:val="002C588D"/>
    <w:rsid w:val="002E35D8"/>
    <w:rsid w:val="002F15FA"/>
    <w:rsid w:val="002F2424"/>
    <w:rsid w:val="00301BFA"/>
    <w:rsid w:val="003072A3"/>
    <w:rsid w:val="0031333A"/>
    <w:rsid w:val="003257CC"/>
    <w:rsid w:val="00335F25"/>
    <w:rsid w:val="003364BC"/>
    <w:rsid w:val="00341A63"/>
    <w:rsid w:val="003B067D"/>
    <w:rsid w:val="003C345E"/>
    <w:rsid w:val="003C4330"/>
    <w:rsid w:val="003D3168"/>
    <w:rsid w:val="003D7C17"/>
    <w:rsid w:val="00411BA2"/>
    <w:rsid w:val="0042489A"/>
    <w:rsid w:val="00486BEE"/>
    <w:rsid w:val="00491391"/>
    <w:rsid w:val="00492A3D"/>
    <w:rsid w:val="004A1074"/>
    <w:rsid w:val="004B0DD3"/>
    <w:rsid w:val="004B6D57"/>
    <w:rsid w:val="004F3C16"/>
    <w:rsid w:val="004F4E72"/>
    <w:rsid w:val="005106A6"/>
    <w:rsid w:val="00512480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106DF"/>
    <w:rsid w:val="00613727"/>
    <w:rsid w:val="00620FCF"/>
    <w:rsid w:val="006629E2"/>
    <w:rsid w:val="00673130"/>
    <w:rsid w:val="006B1AEF"/>
    <w:rsid w:val="006B5CBA"/>
    <w:rsid w:val="006D1A9B"/>
    <w:rsid w:val="006D5AF3"/>
    <w:rsid w:val="006D7608"/>
    <w:rsid w:val="006E6AB9"/>
    <w:rsid w:val="006E6B8A"/>
    <w:rsid w:val="006F721A"/>
    <w:rsid w:val="0078077C"/>
    <w:rsid w:val="00785D7E"/>
    <w:rsid w:val="00786786"/>
    <w:rsid w:val="00790E8F"/>
    <w:rsid w:val="00793326"/>
    <w:rsid w:val="007B6128"/>
    <w:rsid w:val="007D005D"/>
    <w:rsid w:val="007E171D"/>
    <w:rsid w:val="007F5578"/>
    <w:rsid w:val="00803F88"/>
    <w:rsid w:val="0081339A"/>
    <w:rsid w:val="008161D6"/>
    <w:rsid w:val="0082082F"/>
    <w:rsid w:val="0087368D"/>
    <w:rsid w:val="00877F0A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926590"/>
    <w:rsid w:val="00950DF4"/>
    <w:rsid w:val="00950EA3"/>
    <w:rsid w:val="00971F31"/>
    <w:rsid w:val="009808F3"/>
    <w:rsid w:val="0098523C"/>
    <w:rsid w:val="009868B8"/>
    <w:rsid w:val="00987179"/>
    <w:rsid w:val="009B7522"/>
    <w:rsid w:val="009C345C"/>
    <w:rsid w:val="009D0B41"/>
    <w:rsid w:val="009D3772"/>
    <w:rsid w:val="009E3F7A"/>
    <w:rsid w:val="00A136F9"/>
    <w:rsid w:val="00A206BE"/>
    <w:rsid w:val="00A21E64"/>
    <w:rsid w:val="00A24E53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85CD7"/>
    <w:rsid w:val="00A97C31"/>
    <w:rsid w:val="00AA5053"/>
    <w:rsid w:val="00AC3F78"/>
    <w:rsid w:val="00AC74B6"/>
    <w:rsid w:val="00AE1BEC"/>
    <w:rsid w:val="00AF2E36"/>
    <w:rsid w:val="00AF3DEF"/>
    <w:rsid w:val="00B02D0A"/>
    <w:rsid w:val="00B07710"/>
    <w:rsid w:val="00B232A2"/>
    <w:rsid w:val="00B338E6"/>
    <w:rsid w:val="00B3791A"/>
    <w:rsid w:val="00B40E43"/>
    <w:rsid w:val="00B63A01"/>
    <w:rsid w:val="00B716BB"/>
    <w:rsid w:val="00B85DC8"/>
    <w:rsid w:val="00B97D58"/>
    <w:rsid w:val="00BA4311"/>
    <w:rsid w:val="00BB0D85"/>
    <w:rsid w:val="00BF1155"/>
    <w:rsid w:val="00C27E3C"/>
    <w:rsid w:val="00C33272"/>
    <w:rsid w:val="00C42F24"/>
    <w:rsid w:val="00C641D7"/>
    <w:rsid w:val="00C665E2"/>
    <w:rsid w:val="00C74A73"/>
    <w:rsid w:val="00CA55F1"/>
    <w:rsid w:val="00CB1EBE"/>
    <w:rsid w:val="00CB6A8B"/>
    <w:rsid w:val="00CC755B"/>
    <w:rsid w:val="00CE0BD5"/>
    <w:rsid w:val="00CF2940"/>
    <w:rsid w:val="00D00253"/>
    <w:rsid w:val="00D10E37"/>
    <w:rsid w:val="00D21CE0"/>
    <w:rsid w:val="00D253F8"/>
    <w:rsid w:val="00D30413"/>
    <w:rsid w:val="00D352C0"/>
    <w:rsid w:val="00D911AF"/>
    <w:rsid w:val="00DB1D4A"/>
    <w:rsid w:val="00DB7A8F"/>
    <w:rsid w:val="00DC51BB"/>
    <w:rsid w:val="00DD1C58"/>
    <w:rsid w:val="00DD5B9B"/>
    <w:rsid w:val="00DE4AA4"/>
    <w:rsid w:val="00DF5D28"/>
    <w:rsid w:val="00E14BAC"/>
    <w:rsid w:val="00E17E91"/>
    <w:rsid w:val="00E2404C"/>
    <w:rsid w:val="00E3458D"/>
    <w:rsid w:val="00E710FF"/>
    <w:rsid w:val="00E71227"/>
    <w:rsid w:val="00E73C44"/>
    <w:rsid w:val="00E77183"/>
    <w:rsid w:val="00E8275F"/>
    <w:rsid w:val="00E853C7"/>
    <w:rsid w:val="00EA2A73"/>
    <w:rsid w:val="00EB0A6A"/>
    <w:rsid w:val="00EC2BD6"/>
    <w:rsid w:val="00EC41AA"/>
    <w:rsid w:val="00ED093B"/>
    <w:rsid w:val="00ED16E0"/>
    <w:rsid w:val="00EE4359"/>
    <w:rsid w:val="00EF55B0"/>
    <w:rsid w:val="00F10386"/>
    <w:rsid w:val="00F25AF1"/>
    <w:rsid w:val="00F35116"/>
    <w:rsid w:val="00F422DE"/>
    <w:rsid w:val="00F613A1"/>
    <w:rsid w:val="00FA0D74"/>
    <w:rsid w:val="00FC1201"/>
    <w:rsid w:val="00FC2D15"/>
    <w:rsid w:val="00FC7FAC"/>
    <w:rsid w:val="00FF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816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0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494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Monitoring Implementation – Advanced Study</vt:lpstr>
    </vt:vector>
  </TitlesOfParts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Implementation – Advanced Study</dc:title>
  <dc:creator>Howell &amp; Lensing</dc:creator>
  <cp:lastModifiedBy>csinn</cp:lastModifiedBy>
  <cp:revision>3</cp:revision>
  <cp:lastPrinted>2009-11-08T16:44:00Z</cp:lastPrinted>
  <dcterms:created xsi:type="dcterms:W3CDTF">2009-11-08T16:45:00Z</dcterms:created>
  <dcterms:modified xsi:type="dcterms:W3CDTF">2009-11-08T16:46:00Z</dcterms:modified>
</cp:coreProperties>
</file>